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57 languages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cs="Helvetica" w:hAnsi="Helvetica" w:eastAsia="Helvetica"/>
          <w:sz w:val="21"/>
          <w:szCs w:val="21"/>
          <w:shd w:val="clear" w:color="auto" w:fill="ffffff"/>
          <w:rtl w:val="0"/>
          <w:lang w:val="fr-FR"/>
        </w:rPr>
        <w:tab/>
        <w:t>Article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cs="Helvetica" w:hAnsi="Helvetica" w:eastAsia="Helvetica"/>
          <w:sz w:val="21"/>
          <w:szCs w:val="21"/>
          <w:shd w:val="clear" w:color="auto" w:fill="ffffff"/>
          <w:rtl w:val="0"/>
        </w:rPr>
        <w:tab/>
        <w:t>Talk</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cs="Helvetica" w:hAnsi="Helvetica" w:eastAsia="Helvetica"/>
          <w:sz w:val="21"/>
          <w:szCs w:val="21"/>
          <w:shd w:val="clear" w:color="auto" w:fill="ffffff"/>
          <w:rtl w:val="0"/>
        </w:rPr>
        <w:tab/>
        <w:t>Read</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cs="Helvetica" w:hAnsi="Helvetica" w:eastAsia="Helvetica"/>
          <w:sz w:val="21"/>
          <w:szCs w:val="21"/>
          <w:shd w:val="clear" w:color="auto" w:fill="ffffff"/>
          <w:rtl w:val="0"/>
        </w:rPr>
        <w:tab/>
        <w:t>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cs="Helvetica" w:hAnsi="Helvetica" w:eastAsia="Helvetica"/>
          <w:sz w:val="21"/>
          <w:szCs w:val="21"/>
          <w:shd w:val="clear" w:color="auto" w:fill="ffffff"/>
          <w:rtl w:val="0"/>
        </w:rPr>
        <w:tab/>
        <w:t>View history</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Tools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From Wikipedia, the free encyclopedia</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This article is about the international treaty. For reference to a source, see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Citation. For other uses, see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"Washington Convention" redirects here. For international arbitration institution, see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International Centre for Settlement of Investment Disputes.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(shorter name for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Convention on International Trade in Endangered Species of Wild Fauna and Flora, also known as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Washington Convention) is 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multilateral treaty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to protect endangered plants and animals from the threats of international trade. It was drafted as a result of a resolution adopted in 1963 at a meeting of members of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International Union for Conservation of Nature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(IUCN). The convention was opened for signature in 1973 and CITES entered into force on 1 July 1975.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Its aim is to ensure that international trade (import/export) in specimens of animals and plants included under CITES, does not threaten the survival of the species in the wild. This is achieved via a system of permits and certificates. CITES affords varying degrees of protection to more than 38,000</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species.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As of April</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2022, Secretary-General of CITES is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Ivonne Higuero.[1]</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Background[edit]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 is one of the largest and oldest conservation and sustainable use agreements in existence. There are three working languages of the Convention (English, French and Spanish) in which all documents are made available.[2]</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Participation is voluntary and countries that have agreed to be bound by the convention are known as Parties. Although CITES is legally binding on the Parties, it does not take the place of national laws. Rather it provides a framework respected by each Party, which must adopt their own domestic legislation to implement CITES at the national level.</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Originally, CITES addressed depletion resulting from demand for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luxury goods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such as furs in Western countries, but with the rising wealth of Asia, particularly in China, the focus changed to products demanded there, particularly those used for luxury goods such as elephant ivory or rhinoceros horn. As of 2022, CITES has expanded to include thousands of species previously considered unremarkable and in no danger of extinction such as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manta rays</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pangolins.[3]</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Ratifications[edit]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Parties to the treaty.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Greenland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is covered by CITES regulations through</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Denmark.[4]</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The text of the convention was finalized at a meeting of representatives of 80 countries in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Washington, D.C., United States, on 3 March 1973. It was then open for signature until 31 December 1974. It entered into force after the 10th ratification by a signatory country, on 1 July 1975. Countries that signed the Convention become Parties by ratifying, accepting or approving it. By the end of 2003, all signatory countries had become Parties. States that were not signatories may become Parties by acceding to the convention. As of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2022, the convention has 184 parties, including 183 states and the European Union.[5]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The CITES Convention includes provisions and rules for trade with non-Parties. All member states of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United Nations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are party to the treaty, with the exception of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Democratic People's Republic of Korea,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Federated States of Micronesia,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Haiti,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Kiribati,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Marshall Islands,</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Nauru,</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South Sudan,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East Timor,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Turkmenistan, 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Tuvalu. UN observer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Holy See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is also not a member.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Faroe Islands, an autonomous region in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Kingdom of Denmark, is also treated as a non-Party to CITES (both the Danish mainland 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Greenland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are part of CITES).[4][6]</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An amendment to the text of the convention, known as the Gaborone Amendment[7]</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allows regional economic integration organizations (REIO), such as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European Union, to have the status of a member state and to be a Party to the convention. The REIO can vote at CITES meetings with the number of votes representing the number of members in the REIO, but it does not have an additional vote.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In accordance with Article XVII, paragraph 3, of the CITES Convention, the Gaborone Amendment entered into force on 29 November 2013, 60 days after 54 (two-thirds) of the 80 States that were party to CITES on 30 April 1983 deposited their instrument of acceptance of the amendment. At that time it entered into force only for those States that had accepted the amendment. The amended text of the convention will apply automatically to any State that becomes a Party after 29 November 2013. For States that became party to the convention before that date and have not accepted the amendment, it will enter into force 60 days after they accept it.[7]</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Regulation of trade[edit]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 works by subjecting international trade in specimens of listed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taxa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to controls as they move across international borders.[8]</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specimens can include a wide range of items including the whole animal/plant (whether alive or dead), or a product that contains a part or derivative of the listed taxa such as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cosmetics</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traditional medicines.[9]</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Four types of trade are recognised by CITES -</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import,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export, re-export (export of any specimen that has previously been imported) and introduction from the sea (transportation into a state of specimens of any species which were taken in the marine environment not under the jurisdiction of any state). The CITES definition of "trade" does not require a financial transaction to be occurring. All trade in specimens of species covered by CITES must be authorized through a system of permits and certificates prior to the trade taking place. CITES permits and certificates are issued by one or more Management Authorities in charge of administering the CITES system in each country. Management Authorities are advised by one or more Scientific Authorities on the effects of trade of the specimen on the status of CITES-listed species. CITES permits and certificates must be presented to relevant border authorities in each country in order to authorise the trade.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Each party must enact their own domestic legislation to bring the provisions of CITES into effect in their territories. Parties may choose to take stricter domestic measures than CITES provides (for example by requiring permits/certificates in cases where they would not normally be needed or by prohibiting trade in some specimens).[10]</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Illegally traded wildlife items seized by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HM Revenue and Customs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United Kingdom</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Appendices[edit]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Over 38,000 species, subspecies and populations are protected under CITES.[11]</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Each protected taxa or population is included in one of three lists called Appendices.[12][13]</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Appendix that lists a taxa or population reflects the level of the threat posed by international trade and the CITES controls that apply.</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Taxa may be split-listed meaning that some populations of a species are on one Appendix, while some are on another.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African bush elephant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(Loxodonta africana) is currently split-listed, with all populations except those of Botswana, Namibia, South Africa and Zimbabwe listed in Appendix I. Those of Botswana, Namibia, South Africa and Zimbabwe are listed in Appendix II. There are also species that have only some populations listed in an Appendix. One example is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pronghorn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(Antilocapra americana), a ruminant native to North America. Its Mexican population is listed in Appendix I, but its U.S. and Canadian populations are not listed (though certain U.S. populations in Arizona are nonetheless protected under other domestic legislation, in this case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Endangered Species Act).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Taxa are proposed for inclusion, amendment or deletion in Appendices I and II at meetings of the Conference of the Parties (CoP), which are held approximately once every three years.[14]</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Amendments to listing in Appendix III may be made unilaterally by individual parties.[15]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da-DK"/>
        </w:rPr>
        <w:t>Appendix I[edit]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Appendix I taxa are those that are threatened with</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extinction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and to which the highest level of CITES protection is afforded. Commercial trade in wild-sourced specimens of these taxa is not permitted and non-commercial trade is strictly controlled by requiring an import permit and export permit to be granted by the relevant Management Authorities in each country before the trade occurs.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Notable taxa listed in Appendix I include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red panda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(Ailurus fulgens),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western gorilla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(Gorilla gorilla),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chimpanzee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species (Pan spp.),</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tigers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(Panthera tigris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subspecies),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Asian elephant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(Elephas maximus), some populations of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African bush elephant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(Loxodonta africana),[a]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and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monkey puzzle tree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(Araucaria araucana).[16]</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da-DK"/>
        </w:rPr>
        <w:t>Appendix II[edit]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Appendix II taxa are those that are not necessarily threatened with extinction, but trade must be controlled in order to avoid utilization incompatible with their survival. Appendix II taxa may also include species similar in appearance to species already listed in the Appendices. The vast majority of taxa listed under CITES are listed in Appendix II.[17]</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Any trade in Appendix II taxa standardly requires a CITES export permit or re-export certificate to be granted by the Management Authority of the exporting country before the trade occurs.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Examples of taxa listed on Appendix II are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great white shark</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(Carcharodon carcharias),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American black bear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s-ES_tradnl"/>
        </w:rPr>
        <w:t>(Ursus americanus),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Hartmann's mountain zebra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(Equus zebra hartmannae),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green iguana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s-ES_tradnl"/>
        </w:rPr>
        <w:t>(Iguana iguana),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queen conch</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(Strombus gigas),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emperor scorpion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(Pandinus imperator),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Mertens' water monitor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(Varanus mertensi), bigleaf mahogany (Swietenia macrophylla),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lignum vitae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(Guaiacum officinale) and all</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stony corals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(Scleractinia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spp.).</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da-DK"/>
        </w:rPr>
        <w:t>Appendix III[edit]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Appendix III species are those that are protected in at least one country, and that country has asked other CITES Parties for assistance in controlling the trade. Any trade in Appendix III species standardly requires a CITES export permit (if sourced from the country that listed the species) or a certificate of origin (from any other country) to be granted before the trade occurs.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Examples of species listed on Appendix III and the countries that listed them are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two-toed sloth</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(Choloepus hoffmanni) by Costa Rica,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sitatunga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(Tragelaphus spekii) by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Ghana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African civet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(Civettictis civetta) by Botswana.</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Exemptions and special procedures[edit]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Under Article VII, the Convention allows for certain exceptions to the general trade requirements described above.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Pre-Convention specimens[edit]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 provides for a special process for specimens that were acquired before the provisions of the Convention applied to that specimen. These are known as "pre-Convention" specimens and must be granted a CITES pre-Convention certificate before the trade occurs. Only specimens legally acquired before the date on which the species concerned was first included in the Appendices qualify for this exemption.[18]</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Personal and household effects[edit]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 provides that the standard permit/certificate requirements for trade in CITES specimens do not generally apply if a specimen is a personal or household effect.[19]</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However there are a number of situations where permits/certificates for personal or household effects are required and some countries choose to take stricter domestic measures by requiring permits/certificates for some or all personal or household effects.[10]</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Captive bred or artificially propagated specimens[edit]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 allows trade in specimens to follow special procedures if Management Authorities are satisfied that they are sourced from</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captive bred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animals 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artificially propagated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plants.[20]</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 the case of commercial trade of Appendix I taxa, captive bred or artificially propagated specimens may be traded as if they were Appendix II. This reduces the permit requirements from two permits (import/export) to one (export only). In the case of non-commercial trade, specimens may be traded with a certificate of captive breeding/artificial propagation issued by the Management Authority of the state of export in lieu of standard permits.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Scientific exchange[edit]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Standard CITES permit and certificates are not required for the non-commercial loan, donation or exchange between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scientific</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or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forensic institutions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that have been registered by a Management Authority of their State. Consignments containing the specimens must carry a label issued or approved by that Management Authority (in some cases Customs Declaration labels may be used). Specimens that may be included under this provision include museum, herbarium, diagnostic and forensic research specimens.[21]</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Registered institutions are listed on the CITES website.[22]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Amendments and reservations[edit]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Amendments to the Convention must be supported by a two-thirds majority who are "present and voting" and can be made during an extraordinary meeting of the COP if one-third of the Parties are interested in such a meeting. The Gaborone Amendment (1983) allows regional economic blocs to accede to the treaty. Trade with non-Party states is allowed, although permits and certificates are recommended to be issued by exporters and sought by importers.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Species in the Appendices may be proposed for addition, change of Appendix, or de-listing (i.e., deletion) by any Party, whether or not it is a range State and changes may be made despite objections by range States if there is sufficient (2/3 majority) support for the listing. Species listings are made at the Conference of Parties.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Upon acceding to the Convention or within 90 days of a species listing being amended, Parties may make reservations. In these cases, the party is treated as being a state that is not a Party to CITES with respect to trade in the species concerned.[23]</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Notable reservations include those by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Iceland,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Japan, and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Norway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on various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baleen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whale species and those 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Falconiformes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by Saudi Arabia.</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Shortcomings and concerns[edit]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fr-FR"/>
        </w:rPr>
        <w:t>Implementation[edit]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As of 2002, 50% of Parties lacked one or more of the four major CITES requirements - designation of Management and Scientific Authorities; laws prohibiting the trade in violation of CITES; penalties for such trade and laws providing for the confiscation of specimens.[24]</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Although the Convention itself does not provide for arbitration or dispute in the case of noncompliance, 36 years of CITES in practice has resulted in several strategies to deal with infractions by Parties. The Secretariat, when informed of an infraction by a Party, will notify all other parties. The Secretariat will give the Party time to respond to the allegations and may provide technical assistance to prevent further infractions. Other actions the Convention itself does not provide for but that derive from subsequent COP resolutions may be taken against the offending Party. These include: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Mandatory confirmation of all permits by the Secretariat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Suspension of cooperation from the Secretariat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 formal warning</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 visit by the Secretariat to verify capacity</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Recommendations to all Parties to suspend CITES related trade with the offending party[25]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Dictation of corrective measures to be taken by the offending Party before the Secretariat will resume cooperation or recommend resumption of trade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Bilateral sanctions have been imposed on the basis of national legislation (e.g. the USA used certification under the Pelly Amendment to get Japan to revoke its reservation to hawksbill turtle products in 1991, thus reducing the volume of its exports).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Infractions may include negligence with respect to permit issuing, excessive trade, lax enforcement, and failing to produce annual reports (the most common).</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Approach to biodiversity conservation[edit]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General limitations about the structure and philosophy of CITES include: by design and intent it focuses on trade at the species level and does not address habitat loss,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ecosystem approaches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to conservation, or poverty; it seeks to prevent unsustainable use rather than promote sustainable use (which generally conflicts with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Convention on Biological Diversity), although this has been changing (see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Nile crocodile,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African elephant, South African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white rhino</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case studies in Hutton and Dickinson 2000). It does not explicitly address market demand.[26]</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 fact, CITES listings have been demonstrated to increase financial speculation in certain markets for high value species.[27][28][29]</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Funding does not provide for increased on-the-ground enforcement (it must apply for bilateral aid for most projects of this nature).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There has been increasing willingness within the Parties to allow for trade in products from well-managed populations. For instance, sales of the South African white rhino have generated revenues that helped pay for protection. Listing the species on Appendix I increased the price of rhino horn (which fueled more poaching), but the species survived wherever there was adequate on-the-ground protection. Thus field protection may be the primary mechanism that saved the population, but it is likely that field protection would not have been increased without CITES protection.[30]</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 another instance, the United States initially stopped exports of bobcat and lynx hides in 1977 when it first implemented CITES for lack of data to support no detriment findings.[1]</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However, in this Federal Register notice, issued by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William Yancey Brown, the U.S. Endangered Species Scientific Authority (ESSA) established a framework of no detriment findings for each state and the Navajo nation and indicated that approval would be forthcoming if the states and Navajo nation provided evidence that their furbearer management programs assured the species would be conserved. Management programs for these species expanded rapidly, including tagging for export,[2]</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and are currently recognized in program approvals under regulations of the U.S. Fish and Wildlife Service.[3]</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Drafting[edit]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By design, CITES regulates and monitors trade in the manner of a "negative list" such that trade in all species is permitted and unregulated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unless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species in question appears on the Appendices or looks very much like one of those taxa. Then and only then, trade is regulated or constrained. Because the remit of the Convention covers millions of species of plants and animals, and tens of thousands of these taxa are potentially of economic value, in practice this negative list approach effectively forces CITES signatories to expend limited resources on just a select few, leaving many species to be traded with neither constraint nor review. For example, recently several bird classified as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threatened with extinction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appeared in the legal wild bird trade because the CITES process never considered their status. If a "positive list" approach were taken, only species evaluated and approved for the positive list would be permitted in trade, thus lightening the review burden for member states and the Secretariat, and also preventing inadvertent legal trade threats to poorly known species.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Specific weaknesses in the text include: it does not stipulate guidelines for the 'non-detriment' finding required of national Scientific Authorities; non-detriment findings require copious amounts of information; the 'household effects' clause is often not rigid enough/specific enough to prevent CITES violations by means of this Article (VII); non-reporting from Parties means Secretariat monitoring is incomplete; and it has no capacity to address domestic trade in listed species.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In order to ensure that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General Agreement on Tariffs and Trade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(GATT) was not violated, the Secretariat of GATT was consulted during the drafting process.[31]</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Animal sourced pathogens[edit]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During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s-ES_tradnl"/>
        </w:rPr>
        <w:t>coronavirus pandemic</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in 2020 CEO</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Ivonne Higuero</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noted that illegal wildlife trade not only helps to destroy habitats, but these habitats create a safety barrier for humans that can prevent pathogens from animals passing themselves on to people.[32]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Reform suggestions[edit]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Suggestions for improvement in the operation of CITES include: more regular missions by the Secretariat (not reserved just for high-profile species); improvement of national legislation and enforcement; better reporting by Parties (and the consolidation of information from all sources-NGOs,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TRAFFIC, the wildlife trade monitoring network</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and Parties); more emphasis on enforcement-including a technical committee enforcement officer; the development of CITES Action Plans (akin to Biodiversity Action Plans related to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Convention on Biological Diversity) including: designation of Scientific/Management Authorities and national enforcement strategies; incentives for reporting and timelines for both Action Plans and reporting. CITES would benefit from access to</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Global Environment Facility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(GEF), funds-although this is difficult given the GEFs more ecosystem approach-or other more regular funds. Development of a future mechanism similar to that of the Montreal Protocol (developed nations contribute to a fund for developing nations) could allow more funds for non-Secretariat activities.[24]</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TRAFFIC Data[edit]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From 2005 to 2009 the legal trade corresponded with these numbers:[citation needed]</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317,000 live birds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More than 2 million live reptiles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fr-FR"/>
        </w:rPr>
        <w:t>2.5 million crocodile skins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2.1 million</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snake skins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73 tons of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caviar</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1.1 million beaver skins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Millions of pieces of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coral</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20,000 mammalian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hunting trophies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In the 1990s the annual trade of legal animal products was $160 billion annually. In 2009 the estimated value almost doubled to $300 billion.[33]</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Additional information about the documented trade can be extracted through queries on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website.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Meetings[edit]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The Conference of the Parties (CoP) is held once every three years. The location of the next CoP is chosen at the close of each CoP by a secret ballot vote.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The CITES Committees (Animals Committee, Plants Committee and Standing Committee) hold meetings during each year that does not have a CoP, while the Standing committee meets also in years with a CoP. The Committee meetings take place in Geneva, Switzerland (where the Secretariat of the CITES Convention is located), unless another country offers to host the meeting. The Secretariat is administered by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UNEP. The Animals and Plants Committees have sometimes held joint meetings. The previous joint meeting was held in March 2012 in</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Dublin,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Ireland, and the latest one was held in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Veracruz,</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Mexico, in May 2014.</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 current list of upcoming meetings appears on the CITES calendar.[34]</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At the seventeenth Conference of the Parties (CoP 17), Namibia and Zimbabwe introduced proposals to amend their listing of elephant populations in Appendix II. Instead, they wished to establish controlled trade in all elephant specimens, including ivory. They argue that revenue from regulated trade could be used for elephant conservation and rural communities</w:t>
      </w:r>
      <w:r>
        <w:rPr>
          <w:rFonts w:ascii="Helvetica" w:hAnsi="Helvetica" w:hint="default"/>
          <w:sz w:val="21"/>
          <w:szCs w:val="21"/>
          <w:shd w:val="clear" w:color="auto" w:fill="ffffff"/>
          <w:rtl w:val="1"/>
        </w:rPr>
        <w:t xml:space="preserve">’ </w:t>
      </w:r>
      <w:r>
        <w:rPr>
          <w:rFonts w:ascii="Helvetica" w:hAnsi="Helvetica"/>
          <w:sz w:val="21"/>
          <w:szCs w:val="21"/>
          <w:shd w:val="clear" w:color="auto" w:fill="ffffff"/>
          <w:rtl w:val="0"/>
          <w:lang w:val="en-US"/>
        </w:rPr>
        <w:t>development. However, both proposals were opposed by the US and other countries.[35]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See also[edit]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Environmental agreements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it-IT"/>
        </w:rPr>
        <w:t>Illegal logging</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IUCN Red List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Ivory trade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Lacey Act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List of species protected by CITES Appendix I</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List of species protected by CITES Appendix II</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List of species protected by CITES Appendix III</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Shark finning</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Wildlife conservation</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Wildlife Enforcement Monitoring System</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Wildlife management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Wildlife smuggling</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World Wildlife Day</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Footnotes[edit]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treats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African forest elephant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as a subspecies of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L. africana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and thus protected under Appendix I; most authorities now classify the forest elephant as a separate species,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L. cyclotis.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References[edit]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"Ivonne Higuero named as new CITES Secretary-General".</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CITES.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29 May</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2019.</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"The CITES Secretariat | CITES".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10 April</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Bettina Wassener (12 March 2013).</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"No Species Is Safe From Burgeoning Wildlife Trade".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New York Times. Archived from</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original</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on 1 January 2022.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13 March</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2013.</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Jump up to:</w:t>
      </w:r>
      <w:r>
        <w:rPr>
          <w:rFonts w:ascii="Helvetica" w:cs="Helvetica" w:hAnsi="Helvetica" w:eastAsia="Helvetica"/>
          <w:sz w:val="21"/>
          <w:szCs w:val="21"/>
          <w:shd w:val="clear" w:color="auto" w:fill="ffffff"/>
          <w:rtl w:val="0"/>
        </w:rPr>
        <w:br w:type="textWrapping"/>
      </w:r>
      <w:r>
        <w:rPr>
          <w:rFonts w:ascii="Helvetica" w:hAnsi="Helvetica"/>
          <w:sz w:val="21"/>
          <w:szCs w:val="21"/>
          <w:shd w:val="clear" w:color="auto" w:fill="ffffff"/>
          <w:rtl w:val="0"/>
        </w:rPr>
        <w:t>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b</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"Denmark - National authorities".</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CITES. 24 December 2020.</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 xml:space="preserve">"List of Contracting Parties </w:t>
      </w:r>
      <w:r>
        <w:rPr>
          <w:rFonts w:ascii="Helvetica" w:hAnsi="Helvetica" w:hint="default"/>
          <w:sz w:val="21"/>
          <w:szCs w:val="21"/>
          <w:shd w:val="clear" w:color="auto" w:fill="ffffff"/>
          <w:rtl w:val="0"/>
        </w:rPr>
        <w:t xml:space="preserve">– </w:t>
      </w:r>
      <w:r>
        <w:rPr>
          <w:rFonts w:ascii="Helvetica" w:hAnsi="Helvetica"/>
          <w:sz w:val="21"/>
          <w:szCs w:val="21"/>
          <w:shd w:val="clear" w:color="auto" w:fill="ffffff"/>
          <w:rtl w:val="0"/>
          <w:lang w:val="en-US"/>
        </w:rPr>
        <w:t>CITES".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Faroe Islands. Retrieved 24 February 2015".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Jump up to:</w:t>
      </w:r>
      <w:r>
        <w:rPr>
          <w:rFonts w:ascii="Helvetica" w:cs="Helvetica" w:hAnsi="Helvetica" w:eastAsia="Helvetica"/>
          <w:sz w:val="21"/>
          <w:szCs w:val="21"/>
          <w:shd w:val="clear" w:color="auto" w:fill="ffffff"/>
          <w:rtl w:val="0"/>
        </w:rPr>
        <w:br w:type="textWrapping"/>
      </w:r>
      <w:r>
        <w:rPr>
          <w:rFonts w:ascii="Helvetica" w:hAnsi="Helvetica"/>
          <w:sz w:val="21"/>
          <w:szCs w:val="21"/>
          <w:shd w:val="clear" w:color="auto" w:fill="ffffff"/>
          <w:rtl w:val="0"/>
        </w:rPr>
        <w:t>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b</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"Gaborone amendment to the text of the Convention".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CITES.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13 February</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"How CITES works".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11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"CITES Article 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11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Jump up to:</w:t>
      </w:r>
      <w:r>
        <w:rPr>
          <w:rFonts w:ascii="Helvetica" w:cs="Helvetica" w:hAnsi="Helvetica" w:eastAsia="Helvetica"/>
          <w:sz w:val="21"/>
          <w:szCs w:val="21"/>
          <w:shd w:val="clear" w:color="auto" w:fill="ffffff"/>
          <w:rtl w:val="0"/>
        </w:rPr>
        <w:br w:type="textWrapping"/>
      </w:r>
      <w:r>
        <w:rPr>
          <w:rFonts w:ascii="Helvetica" w:hAnsi="Helvetica"/>
          <w:sz w:val="21"/>
          <w:szCs w:val="21"/>
          <w:shd w:val="clear" w:color="auto" w:fill="ffffff"/>
          <w:rtl w:val="0"/>
        </w:rPr>
        <w:t>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b</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"CITES Article XIV".</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14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CITES species".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7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Convention on International Trade in Endangered Species of Wild Fauna and Flora (2013).</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"Appendices I, II and III".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13 September</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2013.</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Convention on International Trade in Endangered Species of Wild Fauna and Flora.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CITES Appendices".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13 September</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2013.</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"CITES Calendar".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CITES.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13 February</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Resolution Conf. 9.25 Implementation of the Convention for species in Appendix III"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CITES.org.</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Archived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from the original on 19 January 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"Appendices I, II and III".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CITES.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13 February</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CITES species".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11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Resolution 13.6"</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CITES.org.</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Archived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from the original on 1 November 2020.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7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"Article VII".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7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"CITES Article VII".</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14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 Resolution Conf.11.15"</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CITES.org.</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Archived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from the original on 2 August 2021.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18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"Register of scientific institutions".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18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"Reservations entered by the Parties".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7 August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Jump up to:</w:t>
      </w:r>
      <w:r>
        <w:rPr>
          <w:rFonts w:ascii="Helvetica" w:cs="Helvetica" w:hAnsi="Helvetica" w:eastAsia="Helvetica"/>
          <w:sz w:val="21"/>
          <w:szCs w:val="21"/>
          <w:shd w:val="clear" w:color="auto" w:fill="ffffff"/>
          <w:rtl w:val="0"/>
        </w:rPr>
        <w:br w:type="textWrapping"/>
      </w:r>
      <w:r>
        <w:rPr>
          <w:rFonts w:ascii="Helvetica" w:hAnsi="Helvetica"/>
          <w:sz w:val="21"/>
          <w:szCs w:val="21"/>
          <w:shd w:val="clear" w:color="auto" w:fill="ffffff"/>
          <w:rtl w:val="0"/>
        </w:rPr>
        <w:t>a</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b</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Reeve, Policing International Trade in Endangered Species: The CITES Treaty and agreement. London: Earthscan, 2000.</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"Countries currently subject to a recommendation to suspend trade".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CITES.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13 February</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Hill, 1990, "The Convention on International Trade in Endangered Species: Fifteen Years Later,"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Loyola of Los Angeles International and Comparative Law Journal</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13: 231</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nl-NL"/>
        </w:rPr>
        <w:t>van Uhm, D.P. (2016).</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Illegal Wildlife Trade: Inside the World of Poachers, Smugglers and Traders (Studies of Organized Crime). Studies of Organized Crime. Vol.</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15. New York: Springer.</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doi:10.1007/978-3-319-42129-2.</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ISBN</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978-3-319-42128-5.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Zhu, Annah (2020).</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"Restricting trade in endangered species can backfire, triggering market booms".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Conversation.</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Zhu, Annah Lake (2 January 2020).</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"China's Rosewood Boom: A Cultural Fix to Capital Overaccumulation".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Annals of the American Association of Geographers.</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110</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 277</w:t>
      </w:r>
      <w:r>
        <w:rPr>
          <w:rFonts w:ascii="Helvetica" w:hAnsi="Helvetica" w:hint="default"/>
          <w:sz w:val="21"/>
          <w:szCs w:val="21"/>
          <w:shd w:val="clear" w:color="auto" w:fill="ffffff"/>
          <w:rtl w:val="0"/>
        </w:rPr>
        <w:t>–</w:t>
      </w:r>
      <w:r>
        <w:rPr>
          <w:rFonts w:ascii="Helvetica" w:hAnsi="Helvetica"/>
          <w:sz w:val="21"/>
          <w:szCs w:val="21"/>
          <w:shd w:val="clear" w:color="auto" w:fill="ffffff"/>
          <w:rtl w:val="0"/>
        </w:rPr>
        <w:t>296.</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doi:10.1080/24694452.2019.1613955.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Hutton and Dickinson, Endangered Species Threatened Convention: The Past, Present and Future of CITES. London: Africa Resources Trust, 2000.</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"What is CITES?".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cites.org. CITES.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13 February</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2012.</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"Preventing illegal wildlife trade helps avoid zoonotic diseases".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Balkan Green Energy News. 15 May 2020. Retrieved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7 June</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2020.</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Ceballos, G.; Ehrlich, A. H.; Ehrlich, P. R. (2015).</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The Annihilation of Nature: Human Extinction of Birds and Mammals. Baltimore, Maryland: Johns Hopkins University Press. pp. 150.</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ISBN</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1421417189</w:t>
      </w:r>
      <w:r>
        <w:rPr>
          <w:rFonts w:ascii="Helvetica" w:hAnsi="Helvetica" w:hint="default"/>
          <w:sz w:val="21"/>
          <w:szCs w:val="21"/>
          <w:shd w:val="clear" w:color="auto" w:fill="ffffff"/>
          <w:rtl w:val="0"/>
        </w:rPr>
        <w:t xml:space="preserve"> – </w:t>
      </w:r>
      <w:r>
        <w:rPr>
          <w:rFonts w:ascii="Helvetica" w:hAnsi="Helvetica"/>
          <w:sz w:val="21"/>
          <w:szCs w:val="21"/>
          <w:shd w:val="clear" w:color="auto" w:fill="ffffff"/>
          <w:rtl w:val="0"/>
          <w:lang w:val="it-IT"/>
        </w:rPr>
        <w:t>via Open Edition.</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"CITES calendar".</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www.cites.org.</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Laina, Efstathia (3 December 2018).</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"Negotiations for Sustainable Oceans: Significant Challenges Ahead".</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Environmental Policy and Law.</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48</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(5): 262</w:t>
      </w:r>
      <w:r>
        <w:rPr>
          <w:rFonts w:ascii="Helvetica" w:hAnsi="Helvetica" w:hint="default"/>
          <w:sz w:val="21"/>
          <w:szCs w:val="21"/>
          <w:shd w:val="clear" w:color="auto" w:fill="ffffff"/>
          <w:rtl w:val="0"/>
        </w:rPr>
        <w:t>–</w:t>
      </w:r>
      <w:r>
        <w:rPr>
          <w:rFonts w:ascii="Helvetica" w:hAnsi="Helvetica"/>
          <w:sz w:val="21"/>
          <w:szCs w:val="21"/>
          <w:shd w:val="clear" w:color="auto" w:fill="ffffff"/>
          <w:rtl w:val="0"/>
        </w:rPr>
        <w:t>268.</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pt-PT"/>
        </w:rPr>
        <w:t>doi:10.3233/epl-180086.</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ISSN</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0378-777X.</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S2CID</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92311195.</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Further reading[edit]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Oldfield, S. and McGough, N. (Comp.) 2007. A CITES manual for botanic gardens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English version,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Spanish version,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it-IT"/>
        </w:rPr>
        <w:t>Italian version</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Botanic Gardens Conservation International (BGCI)</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pt-PT"/>
        </w:rPr>
        <w:t>External links[edit]</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Wikidata</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has the property:</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cs="Helvetica" w:hAnsi="Helvetica" w:eastAsia="Helvetica"/>
          <w:sz w:val="21"/>
          <w:szCs w:val="21"/>
          <w:shd w:val="clear" w:color="auto" w:fill="ffffff"/>
          <w:rtl w:val="0"/>
        </w:rPr>
        <w:tab/>
        <w:t> </w:t>
      </w:r>
      <w:r>
        <w:rPr>
          <w:rFonts w:ascii="Helvetica" w:hAnsi="Helvetica"/>
          <w:sz w:val="21"/>
          <w:szCs w:val="21"/>
          <w:shd w:val="clear" w:color="auto" w:fill="ffffff"/>
          <w:rtl w:val="0"/>
          <w:lang w:val="es-ES_tradnl"/>
        </w:rPr>
        <w:t>CITES Species+ ID (P2040)</w:t>
      </w:r>
      <w:r>
        <w:rPr>
          <w:rFonts w:ascii="Helvetica" w:hAnsi="Helvetica" w:hint="default"/>
          <w:sz w:val="21"/>
          <w:szCs w:val="21"/>
          <w:shd w:val="clear" w:color="auto" w:fill="ffffff"/>
          <w:rtl w:val="0"/>
        </w:rPr>
        <w:t> </w:t>
      </w:r>
      <w:r>
        <w:rPr>
          <w:rFonts w:ascii="Helvetica" w:hAnsi="Helvetica"/>
          <w:sz w:val="21"/>
          <w:szCs w:val="21"/>
          <w:shd w:val="clear" w:color="auto" w:fill="ffffff"/>
          <w:rtl w:val="0"/>
        </w:rPr>
        <w:t>(see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fr-FR"/>
        </w:rPr>
        <w:t>uses)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Wikimedia Commons has media related to</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CITES.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rPr>
        <w:t>Wikisource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has original text related to this article:</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Convention on International Trade in Endangered Species of Wild Fauna and Flora</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Official website</w:t>
      </w:r>
      <w:r>
        <w:rPr>
          <w:rFonts w:ascii="Helvetica" w:hAnsi="Helvetica" w:hint="default"/>
          <w:sz w:val="21"/>
          <w:szCs w:val="21"/>
          <w:shd w:val="clear" w:color="auto" w:fill="ffffff"/>
          <w:rtl w:val="0"/>
        </w:rPr>
        <w:t> </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CITES Profile on database of market governance mechanisms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(archived 13 March 2016)</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Member countries (Parties)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Chronological list of Parties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Alphabetical list of Parties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at CITES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and at the</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depositary</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de-DE"/>
        </w:rPr>
        <w:t>(PDF)</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National contacts</w:t>
      </w:r>
      <w:r>
        <w:rPr>
          <w:rFonts w:ascii="Helvetica" w:hAnsi="Helvetica" w:hint="default"/>
          <w:sz w:val="21"/>
          <w:szCs w:val="21"/>
          <w:shd w:val="clear" w:color="auto" w:fill="ffffff"/>
          <w:rtl w:val="0"/>
        </w:rPr>
        <w:t> </w:t>
      </w:r>
      <w:r>
        <w:rPr>
          <w:rFonts w:ascii="Helvetica" w:hAnsi="Helvetica"/>
          <w:sz w:val="21"/>
          <w:szCs w:val="21"/>
          <w:shd w:val="clear" w:color="auto" w:fill="ffffff"/>
          <w:rtl w:val="0"/>
          <w:lang w:val="en-US"/>
        </w:rPr>
        <w:t>(archived 20 January 2011)</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Lists of species included in Appendices I, II and III (i.e. species protected by CITES)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Explanation of the Appendices</w:t>
      </w:r>
    </w:p>
    <w:p>
      <w:pPr>
        <w:pStyle w:val="Par défaut"/>
        <w:tabs>
          <w:tab w:val="left" w:pos="220"/>
          <w:tab w:val="left" w:pos="720"/>
        </w:tabs>
        <w:bidi w:val="0"/>
        <w:spacing w:before="0" w:after="21" w:line="240" w:lineRule="auto"/>
        <w:ind w:left="720" w:right="0" w:hanging="720"/>
        <w:jc w:val="left"/>
        <w:rPr>
          <w:rFonts w:ascii="Helvetica" w:cs="Helvetica" w:hAnsi="Helvetica" w:eastAsia="Helvetica"/>
          <w:sz w:val="21"/>
          <w:szCs w:val="21"/>
          <w:shd w:val="clear" w:color="auto" w:fill="ffffff"/>
          <w:rtl w:val="0"/>
        </w:rPr>
      </w:pPr>
      <w:r>
        <w:rPr>
          <w:rFonts w:ascii="Helvetica" w:hAnsi="Helvetica"/>
          <w:sz w:val="21"/>
          <w:szCs w:val="21"/>
          <w:shd w:val="clear" w:color="auto" w:fill="ffffff"/>
          <w:rtl w:val="0"/>
          <w:lang w:val="en-US"/>
        </w:rPr>
        <w:t>Number of species on the Appendices</w:t>
      </w:r>
    </w:p>
    <w:p>
      <w:pPr>
        <w:pStyle w:val="Par défaut"/>
        <w:tabs>
          <w:tab w:val="left" w:pos="220"/>
          <w:tab w:val="left" w:pos="720"/>
        </w:tabs>
        <w:bidi w:val="0"/>
        <w:spacing w:before="0" w:after="21" w:line="240" w:lineRule="auto"/>
        <w:ind w:left="720" w:right="0" w:hanging="720"/>
        <w:jc w:val="left"/>
        <w:rPr>
          <w:rtl w:val="0"/>
        </w:rPr>
      </w:pPr>
      <w:r>
        <w:rPr>
          <w:rFonts w:ascii="Helvetica" w:hAnsi="Helvetica"/>
          <w:sz w:val="21"/>
          <w:szCs w:val="21"/>
          <w:shd w:val="clear" w:color="auto" w:fill="ffffff"/>
          <w:rtl w:val="0"/>
          <w:lang w:val="en-US"/>
        </w:rPr>
        <w:t>Species lists (Appendices I, II and III)</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français" w:val="‘“(〔[{〈《「『【⦅〘〖«〝︵︷︹︻︽︿﹁﹃﹇﹙﹛﹝｢"/>
  <w:noLineBreaksBefore w:lang="françai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Par défaut">
    <w:name w:val="Par défaut"/>
    <w:next w:val="Par défau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